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45</w:t>
      </w:r>
    </w:p>
    <w:p>
      <w:r>
        <w:t>Bundesgericht (BGE), 2011-02-17, FR</w:t>
      </w:r>
    </w:p>
    <w:p>
      <w:r>
        <w:rPr>
          <w:b/>
        </w:rPr>
        <w:t xml:space="preserve">Quelle: </w:t>
      </w:r>
      <w:r>
        <w:t>https://mcp.opencaselaw.ch/entscheid/bge_139 IV 45</w:t>
      </w:r>
    </w:p>
    <w:p>
      <w:r>
        <w:t>FR: ATF 139 IV 45</w:t>
      </w:r>
    </w:p>
    <w:p>
      <w:r>
        <w:t>IT: DTF 139 IV 45</w:t>
      </w:r>
    </w:p>
    <w:p>
      <w:pPr>
        <w:pStyle w:val="Heading2"/>
      </w:pPr>
      <w:r>
        <w:t>Regeste</w:t>
      </w:r>
    </w:p>
    <w:p>
      <w:r>
        <w:t>Regeste Art. 432 StPO; Ansprüche gegenüber der Privatklägerschaft und der antragstellenden Person. Wird die einzig von der Privatklägerschaft erhobene Berufung abgewiesen, hat jene die Verteidigungskosten der beschuldigten Person zu tragen (E. 1).</w:t>
      </w:r>
    </w:p>
    <w:p>
      <w:pPr>
        <w:pStyle w:val="Heading2"/>
      </w:pPr>
      <w:r>
        <w:t>Erwägungen</w:t>
      </w:r>
    </w:p>
    <w:p>
      <w:r>
        <w:rPr>
          <w:b/>
        </w:rPr>
        <w:t>E. 1.1</w:t>
      </w:r>
    </w:p>
    <w:p>
      <w:r>
        <w:t>Le recourant se plaint d'une violation de l' art. 432 al. 1 CPP (RS 312.0). Il relève que la procédure d'appel a été déclenchée par BGE 139 IV 45 S. 47 la seule partie plaignante pour contester l'acquittement du prévenu et demander l'allocation de ses prétentions civiles. Dans ces circonstances, il serait justifié de faire supporter les frais de défense du prévenu à la partie plaignante, qui a été déboutée.</w:t>
      </w:r>
    </w:p>
    <w:p>
      <w:r>
        <w:rPr>
          <w:b/>
        </w:rPr>
        <w:t>E. 1.2</w:t>
      </w:r>
    </w:p>
    <w:p>
      <w:r>
        <w:t>L'indemnisation du prévenu est régie par les art. 429 à 432 CPP, dispositions aussi applicables à la procédure d'appel par le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 art. 429 al. 1 let. a CPP que les frais de défense relatifs à l'aspect pénal sont en principe mis à la charge de l'Etat (voir Message du 21 décembre 2005 relatif à l'unification du droit de la procédure pénale, FF 2006 1313 ad art. 437 et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 S'agissant d'une indemnité allouée dans une procédure d'appel, les dispositions applicables en vertu du renvoi de l' 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BGE 139 IV 45 S. 48 On se trouve par conséquent dans une situation assimilable à celles prévues par l' 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(cf. art. 428 CPP ).</w:t>
      </w:r>
    </w:p>
    <w:p>
      <w:r>
        <w:rPr>
          <w:b/>
        </w:rPr>
        <w:t>E. 1.3</w:t>
      </w:r>
    </w:p>
    <w:p>
      <w:r>
        <w:t>Le recours doit être admis et l'arrêt attaqué annulé dans la mesure où il met à la charge de l'Etat l'indemnité allouée au prévenu pour ses frais de défense en appel. Le montant de cette indemnité n'étant pas remis en cause, il y a lieu, en application de l' art. 107 al. 2 LTF , de réformer le jugement attaqué en ce sens que l'indemnité de 3'204 fr. allouée est mise à la charge de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